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37F470A5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7E4C3B" w:rsidRPr="0083726F">
        <w:rPr>
          <w:b/>
          <w:szCs w:val="24"/>
        </w:rPr>
        <w:t>DĖL ROKIŠKIO RAJONO SAVIVALDYBĖS SMULKAUS IR VIDUTINIO VERSLO PLĖTROS PROGRAMOS NUOSTATŲ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211716AE" w:rsidR="0069605C" w:rsidRDefault="00011556" w:rsidP="007E4C3B">
      <w:pPr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E4C3B" w:rsidRPr="00463A42">
        <w:rPr>
          <w:szCs w:val="24"/>
        </w:rPr>
        <w:t>Strateginio planavimo, investicijų ir viešųjų pirkimų skyriaus</w:t>
      </w:r>
      <w:r w:rsidR="007E4C3B">
        <w:rPr>
          <w:szCs w:val="24"/>
        </w:rPr>
        <w:t xml:space="preserve"> vyriausioji specialistė</w:t>
      </w:r>
      <w:r w:rsidR="000729CD">
        <w:rPr>
          <w:szCs w:val="24"/>
        </w:rPr>
        <w:t xml:space="preserve"> </w:t>
      </w:r>
      <w:r w:rsidR="007E4C3B">
        <w:rPr>
          <w:szCs w:val="24"/>
        </w:rPr>
        <w:t>Reda Ruželienė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C42E2CF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E4C3B">
              <w:rPr>
                <w:sz w:val="22"/>
              </w:rPr>
              <w:t>Teisės akte nustatytos vienodos sąlygos visiems paraiškas teikiantiems subjektams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71BA28A8" w:rsidR="00011556" w:rsidRPr="002F79DE" w:rsidRDefault="007E4C3B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Programos nuostatų projekto 6.2 punkte nustatyta, kad Komisijos darbą, p</w:t>
            </w:r>
            <w:r w:rsidRPr="00C25255">
              <w:rPr>
                <w:sz w:val="22"/>
              </w:rPr>
              <w:t>rogramos lėšų panaudojimą kontroliuoja savivaldybės kontrolierius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077AB2F8" w:rsidR="00011556" w:rsidRPr="002F79DE" w:rsidRDefault="007A4590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Vertinimo kriterijai nustatyti nuostatų projekto 3.6.2 punkte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336CFC04" w:rsidR="00011556" w:rsidRPr="00D52440" w:rsidRDefault="007A459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Išimtis nustatyta nuostatų projekto 3.6.2. punkte - p</w:t>
            </w:r>
            <w:r w:rsidRPr="00C25255">
              <w:rPr>
                <w:sz w:val="22"/>
              </w:rPr>
              <w:t>araiškų vertinimo balais tvarka netaikoma ir didžiausias sumos limitas netaikomas paraiškoms, numatomoms finansuoti pagal nuostatų 4.4.</w:t>
            </w:r>
            <w:r>
              <w:rPr>
                <w:sz w:val="22"/>
              </w:rPr>
              <w:t>9</w:t>
            </w:r>
            <w:r w:rsidRPr="00C25255">
              <w:rPr>
                <w:sz w:val="22"/>
              </w:rPr>
              <w:t xml:space="preserve"> punktą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B7D1F47" w:rsidR="00011556" w:rsidRPr="00D52440" w:rsidRDefault="007A4590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D52440">
              <w:rPr>
                <w:rFonts w:eastAsia="Times New Roman" w:cs="Times New Roman"/>
                <w:sz w:val="22"/>
                <w:lang w:eastAsia="lt-LT"/>
              </w:rPr>
              <w:t>ustatyta</w:t>
            </w:r>
            <w:r>
              <w:rPr>
                <w:rFonts w:eastAsia="Times New Roman" w:cs="Times New Roman"/>
                <w:sz w:val="22"/>
                <w:lang w:eastAsia="lt-LT"/>
              </w:rPr>
              <w:t>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327FC2B" w14:textId="77777777" w:rsidR="007A4590" w:rsidRDefault="007A4590" w:rsidP="007A45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Programos projekte nustatyta, kad sprendimus priima savivaldybės tarybos patvirtinta </w:t>
            </w:r>
            <w:r w:rsidRPr="00C25255">
              <w:rPr>
                <w:sz w:val="22"/>
              </w:rPr>
              <w:t>Programos vertinimo komisij</w:t>
            </w:r>
            <w:r>
              <w:rPr>
                <w:sz w:val="22"/>
              </w:rPr>
              <w:t xml:space="preserve">a. </w:t>
            </w:r>
          </w:p>
          <w:p w14:paraId="5001BD76" w14:textId="77777777" w:rsidR="007A4590" w:rsidRDefault="007A4590" w:rsidP="007A4590">
            <w:pPr>
              <w:rPr>
                <w:sz w:val="22"/>
              </w:rPr>
            </w:pPr>
            <w:r>
              <w:rPr>
                <w:sz w:val="22"/>
              </w:rPr>
              <w:t>Komisijos skyrimo tvarka nustatyta programos 3 skyriuje</w:t>
            </w: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C5BEAB1" w:rsidR="00011556" w:rsidRPr="00D52440" w:rsidRDefault="007A459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</w:t>
            </w:r>
            <w:r w:rsid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4826423C" w:rsidR="00011556" w:rsidRPr="00D52440" w:rsidRDefault="007A4590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Nen</w:t>
            </w:r>
            <w:r w:rsidR="00D52440" w:rsidRP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EC7C9C4" w:rsidR="00011556" w:rsidRPr="00011556" w:rsidRDefault="002C0C5C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0AFD1DEC" w:rsidR="00011556" w:rsidRPr="00011556" w:rsidRDefault="007A4590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63A42">
              <w:rPr>
                <w:szCs w:val="24"/>
              </w:rPr>
              <w:t>Strateginio planavimo, investicijų ir viešųjų pirkimų skyriaus</w:t>
            </w:r>
            <w:r>
              <w:rPr>
                <w:szCs w:val="24"/>
              </w:rPr>
              <w:t xml:space="preserve"> vyriausioji specialistė Reda Ruželienė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0A15DB89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7A4590">
              <w:rPr>
                <w:rFonts w:eastAsia="Times New Roman" w:cs="Times New Roman"/>
                <w:sz w:val="22"/>
                <w:lang w:eastAsia="lt-LT"/>
              </w:rPr>
              <w:t>2021-07-16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0883E" w14:textId="77777777" w:rsidR="00676497" w:rsidRDefault="00676497" w:rsidP="00011556">
      <w:pPr>
        <w:spacing w:after="0" w:line="240" w:lineRule="auto"/>
      </w:pPr>
      <w:r>
        <w:separator/>
      </w:r>
    </w:p>
  </w:endnote>
  <w:endnote w:type="continuationSeparator" w:id="0">
    <w:p w14:paraId="7EF26375" w14:textId="77777777" w:rsidR="00676497" w:rsidRDefault="00676497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25DEF" w14:textId="77777777" w:rsidR="00676497" w:rsidRDefault="00676497" w:rsidP="00011556">
      <w:pPr>
        <w:spacing w:after="0" w:line="240" w:lineRule="auto"/>
      </w:pPr>
      <w:r>
        <w:separator/>
      </w:r>
    </w:p>
  </w:footnote>
  <w:footnote w:type="continuationSeparator" w:id="0">
    <w:p w14:paraId="71B73EEA" w14:textId="77777777" w:rsidR="00676497" w:rsidRDefault="00676497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5679C9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339A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2021-07-16T08:43:00Z</dcterms:created>
  <dcterms:modified xsi:type="dcterms:W3CDTF">2021-07-16T08:43:00Z</dcterms:modified>
</cp:coreProperties>
</file>